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50705" w14:textId="037DAA84" w:rsidR="00FE067E" w:rsidRPr="0038156E" w:rsidRDefault="003E409F" w:rsidP="00CC1F3B">
      <w:pPr>
        <w:pStyle w:val="TitlePageOrigin"/>
        <w:rPr>
          <w:color w:val="auto"/>
        </w:rPr>
      </w:pPr>
      <w:r w:rsidRPr="0038156E">
        <w:rPr>
          <w:caps w:val="0"/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033C89" wp14:editId="232338B5">
                <wp:simplePos x="0" y="0"/>
                <wp:positionH relativeFrom="column">
                  <wp:posOffset>6007100</wp:posOffset>
                </wp:positionH>
                <wp:positionV relativeFrom="paragraph">
                  <wp:posOffset>2260600</wp:posOffset>
                </wp:positionV>
                <wp:extent cx="635000" cy="476250"/>
                <wp:effectExtent l="0" t="0" r="12700" b="19050"/>
                <wp:wrapNone/>
                <wp:docPr id="1" name="Fisca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00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E69F14" w14:textId="0D190DAF" w:rsidR="003E409F" w:rsidRPr="003E409F" w:rsidRDefault="003E409F" w:rsidP="003E409F">
                            <w:pPr>
                              <w:spacing w:line="240" w:lineRule="auto"/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  <w:r w:rsidRPr="003E409F">
                              <w:rPr>
                                <w:rFonts w:cs="Arial"/>
                                <w:b/>
                              </w:rPr>
                              <w:t>FISCAL NOTE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6350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033C89" id="_x0000_t202" coordsize="21600,21600" o:spt="202" path="m,l,21600r21600,l21600,xe">
                <v:stroke joinstyle="miter"/>
                <v:path gradientshapeok="t" o:connecttype="rect"/>
              </v:shapetype>
              <v:shape id="Fiscal" o:spid="_x0000_s1026" type="#_x0000_t202" style="position:absolute;left:0;text-align:left;margin-left:473pt;margin-top:178pt;width:50pt;height:37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wfVIgIAAEcEAAAOAAAAZHJzL2Uyb0RvYy54bWysU01v2zAMvQ/YfxB0X+xka1YYcYosRYYB&#10;QVsgHXpWZDk2JosapcTOfv0o2U6KbqdhF5kmKX6897S46xrNTgpdDSbn00nKmTISitoccv79efPh&#10;ljPnhSmEBqNyflaO3y3fv1u0NlMzqEAXChkVMS5rbc4r722WJE5WqhFuAlYZCpaAjfD0i4ekQNFS&#10;9UYnszSdJy1gYRGkco68932QL2P9slTSP5alU57pnNNsPp4Yz304k+VCZAcUtqrlMIb4hykaURtq&#10;eil1L7xgR6z/KNXUEsFB6ScSmgTKspYq7kDbTNM32+wqYVXchcBx9gKT+39l5cNpZ5+Q+e4LdERg&#10;AKS1LnPkDPt0JTbhS5MyihOE5wtsqvNMknP+8SZNKSIp9OnzfHYTYU2uly06/1VBw4KRcyRWIlji&#10;tHWeGlLqmBJ6GdjUWkdmtGFt3yBecKDrIgRDWriy1shOgrjdayF/hOGp1qss+tOGnNeVguW7fTfs&#10;uYfiTOsj9MpwVm5qqrsVzj8JJCnQXiRv/0hHqYGGgcHirAL89Td/yCeGKMpZS9LKuft5FKg4098M&#10;cRd0GI0IHGc4evejYY7NGmirKT0eK6NJl9Dr0SwRmhdS/ip0opAwkvrl3I/m2vcip5cj1WoVk0hx&#10;Vvit2VkZSo8YPncvAu3AjSdSH2AUnsjeUNTn9iStjh7KOvIXQO2RHLAmtUYqhpcVnsPr/5h1ff/L&#10;3wAAAP//AwBQSwMEFAAGAAgAAAAhAGYjePfiAAAADAEAAA8AAABkcnMvZG93bnJldi54bWxMj0FP&#10;wzAMhe9I/IfISFwQS0bHBKXpNKEhpB0mbeMAN7cxbaFxSpNt5d+TcoGb7ff0/L1sMdhWHKn3jWMN&#10;04kCQVw603Cl4WX/dH0Hwgdkg61j0vBNHhb5+VmGqXEn3tJxFyoRQ9inqKEOoUul9GVNFv3EdcRR&#10;e3e9xRDXvpKmx1MMt628UWouLTYcP9TY0WNN5efuYDV8bT/2m9VzYRK8Wg6vBa7l22qt9eXFsHwA&#10;EWgIf2YY8SM65JGpcAc2XrQa7mfz2CVoSG7HYXSo31OhYZZMFcg8k/9L5D8AAAD//wMAUEsBAi0A&#10;FAAGAAgAAAAhALaDOJL+AAAA4QEAABMAAAAAAAAAAAAAAAAAAAAAAFtDb250ZW50X1R5cGVzXS54&#10;bWxQSwECLQAUAAYACAAAACEAOP0h/9YAAACUAQAACwAAAAAAAAAAAAAAAAAvAQAAX3JlbHMvLnJl&#10;bHNQSwECLQAUAAYACAAAACEAOT8H1SICAABHBAAADgAAAAAAAAAAAAAAAAAuAgAAZHJzL2Uyb0Rv&#10;Yy54bWxQSwECLQAUAAYACAAAACEAZiN49+IAAAAMAQAADwAAAAAAAAAAAAAAAAB8BAAAZHJzL2Rv&#10;d25yZXYueG1sUEsFBgAAAAAEAAQA8wAAAIsFAAAAAA==&#10;" filled="f" strokeweight=".5pt">
                <v:textbox inset="0,5pt,0,0">
                  <w:txbxContent>
                    <w:p w14:paraId="0CE69F14" w14:textId="0D190DAF" w:rsidR="003E409F" w:rsidRPr="003E409F" w:rsidRDefault="003E409F" w:rsidP="003E409F">
                      <w:pPr>
                        <w:spacing w:line="240" w:lineRule="auto"/>
                        <w:jc w:val="center"/>
                        <w:rPr>
                          <w:rFonts w:cs="Arial"/>
                          <w:b/>
                        </w:rPr>
                      </w:pPr>
                      <w:r w:rsidRPr="003E409F">
                        <w:rPr>
                          <w:rFonts w:cs="Arial"/>
                          <w:b/>
                        </w:rPr>
                        <w:t>FISCAL NOTE</w:t>
                      </w:r>
                    </w:p>
                  </w:txbxContent>
                </v:textbox>
              </v:shape>
            </w:pict>
          </mc:Fallback>
        </mc:AlternateContent>
      </w:r>
      <w:r w:rsidR="003C6034" w:rsidRPr="0038156E">
        <w:rPr>
          <w:caps w:val="0"/>
          <w:color w:val="auto"/>
        </w:rPr>
        <w:t>WEST VIRGINIA LEGISLATURE</w:t>
      </w:r>
    </w:p>
    <w:p w14:paraId="51AB2CE6" w14:textId="469512BF" w:rsidR="00CD36CF" w:rsidRPr="0038156E" w:rsidRDefault="00CD36CF" w:rsidP="00CC1F3B">
      <w:pPr>
        <w:pStyle w:val="TitlePageSession"/>
        <w:rPr>
          <w:color w:val="auto"/>
        </w:rPr>
      </w:pPr>
      <w:r w:rsidRPr="0038156E">
        <w:rPr>
          <w:color w:val="auto"/>
        </w:rPr>
        <w:t>20</w:t>
      </w:r>
      <w:r w:rsidR="00EC5E63" w:rsidRPr="0038156E">
        <w:rPr>
          <w:color w:val="auto"/>
        </w:rPr>
        <w:t>2</w:t>
      </w:r>
      <w:r w:rsidR="00D1151A" w:rsidRPr="0038156E">
        <w:rPr>
          <w:color w:val="auto"/>
        </w:rPr>
        <w:t>3</w:t>
      </w:r>
      <w:r w:rsidRPr="0038156E">
        <w:rPr>
          <w:color w:val="auto"/>
        </w:rPr>
        <w:t xml:space="preserve"> </w:t>
      </w:r>
      <w:r w:rsidR="003C6034" w:rsidRPr="0038156E">
        <w:rPr>
          <w:caps w:val="0"/>
          <w:color w:val="auto"/>
        </w:rPr>
        <w:t>REGULAR SESSION</w:t>
      </w:r>
    </w:p>
    <w:p w14:paraId="2EE6448E" w14:textId="77777777" w:rsidR="00CD36CF" w:rsidRPr="0038156E" w:rsidRDefault="009F3EC9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7A15D514EE5841B29C7CA3B6052E5D41"/>
          </w:placeholder>
          <w:text/>
        </w:sdtPr>
        <w:sdtEndPr/>
        <w:sdtContent>
          <w:r w:rsidR="00AE48A0" w:rsidRPr="0038156E">
            <w:rPr>
              <w:color w:val="auto"/>
            </w:rPr>
            <w:t>Introduced</w:t>
          </w:r>
        </w:sdtContent>
      </w:sdt>
    </w:p>
    <w:p w14:paraId="52E0BC9F" w14:textId="49EA2362" w:rsidR="00CD36CF" w:rsidRPr="0038156E" w:rsidRDefault="009F3EC9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B72E1EF93E8946E3BA667199F741F76F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38156E">
            <w:rPr>
              <w:color w:val="auto"/>
            </w:rPr>
            <w:t>House</w:t>
          </w:r>
        </w:sdtContent>
      </w:sdt>
      <w:r w:rsidR="00303684" w:rsidRPr="0038156E">
        <w:rPr>
          <w:color w:val="auto"/>
        </w:rPr>
        <w:t xml:space="preserve"> </w:t>
      </w:r>
      <w:r w:rsidR="00CD36CF" w:rsidRPr="0038156E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8CAC538E0E0B441284DD842A17DC8D2B"/>
          </w:placeholder>
          <w:text/>
        </w:sdtPr>
        <w:sdtEndPr/>
        <w:sdtContent>
          <w:r w:rsidR="004418C6">
            <w:rPr>
              <w:color w:val="auto"/>
            </w:rPr>
            <w:t>2821</w:t>
          </w:r>
        </w:sdtContent>
      </w:sdt>
    </w:p>
    <w:p w14:paraId="12B11314" w14:textId="4784FAD6" w:rsidR="00CD36CF" w:rsidRPr="0038156E" w:rsidRDefault="00CD36CF" w:rsidP="00CC1F3B">
      <w:pPr>
        <w:pStyle w:val="Sponsors"/>
        <w:rPr>
          <w:color w:val="auto"/>
        </w:rPr>
      </w:pPr>
      <w:r w:rsidRPr="0038156E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9D2D760CBEAC48878493036E25F09BBE"/>
          </w:placeholder>
          <w:text w:multiLine="1"/>
        </w:sdtPr>
        <w:sdtEndPr/>
        <w:sdtContent>
          <w:r w:rsidR="003C01CC" w:rsidRPr="0038156E">
            <w:rPr>
              <w:color w:val="auto"/>
            </w:rPr>
            <w:t>Delegate</w:t>
          </w:r>
          <w:r w:rsidR="00101B94">
            <w:rPr>
              <w:color w:val="auto"/>
            </w:rPr>
            <w:t>s</w:t>
          </w:r>
          <w:r w:rsidR="00D1151A" w:rsidRPr="0038156E">
            <w:rPr>
              <w:color w:val="auto"/>
            </w:rPr>
            <w:t xml:space="preserve"> Cannon</w:t>
          </w:r>
          <w:r w:rsidR="00101B94">
            <w:rPr>
              <w:color w:val="auto"/>
            </w:rPr>
            <w:t>, Steele,</w:t>
          </w:r>
          <w:r w:rsidR="007C3DEA">
            <w:rPr>
              <w:color w:val="auto"/>
            </w:rPr>
            <w:t xml:space="preserve"> </w:t>
          </w:r>
          <w:r w:rsidR="00101B94">
            <w:rPr>
              <w:color w:val="auto"/>
            </w:rPr>
            <w:t>Fluharty</w:t>
          </w:r>
          <w:r w:rsidR="00B90E4F">
            <w:rPr>
              <w:color w:val="auto"/>
            </w:rPr>
            <w:t xml:space="preserve">, </w:t>
          </w:r>
          <w:r w:rsidR="007C3DEA">
            <w:rPr>
              <w:color w:val="auto"/>
            </w:rPr>
            <w:t>Riley</w:t>
          </w:r>
          <w:r w:rsidR="00E360F0">
            <w:rPr>
              <w:color w:val="auto"/>
            </w:rPr>
            <w:t>,</w:t>
          </w:r>
          <w:r w:rsidR="00B90E4F">
            <w:rPr>
              <w:color w:val="auto"/>
            </w:rPr>
            <w:t xml:space="preserve"> Nestor</w:t>
          </w:r>
          <w:r w:rsidR="009F3EC9">
            <w:rPr>
              <w:color w:val="auto"/>
            </w:rPr>
            <w:t xml:space="preserve">, </w:t>
          </w:r>
          <w:r w:rsidR="00E360F0">
            <w:rPr>
              <w:color w:val="auto"/>
            </w:rPr>
            <w:t>Storch</w:t>
          </w:r>
          <w:r w:rsidR="009F3EC9">
            <w:rPr>
              <w:color w:val="auto"/>
            </w:rPr>
            <w:t xml:space="preserve"> and Espinosa</w:t>
          </w:r>
        </w:sdtContent>
      </w:sdt>
    </w:p>
    <w:p w14:paraId="2E35AEA6" w14:textId="0D34F450" w:rsidR="00E831B3" w:rsidRPr="0038156E" w:rsidRDefault="00CD36CF" w:rsidP="00CC1F3B">
      <w:pPr>
        <w:pStyle w:val="References"/>
        <w:rPr>
          <w:color w:val="auto"/>
        </w:rPr>
      </w:pPr>
      <w:r w:rsidRPr="0038156E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D4A31AA3ADD442DA9F17D7E8D2E3A877"/>
          </w:placeholder>
          <w:text w:multiLine="1"/>
        </w:sdtPr>
        <w:sdtEndPr/>
        <w:sdtContent>
          <w:r w:rsidR="004418C6">
            <w:rPr>
              <w:color w:val="auto"/>
            </w:rPr>
            <w:t>Introduced January 19, 2023; Referred to the Committee on the Judiciary then Finance</w:t>
          </w:r>
        </w:sdtContent>
      </w:sdt>
      <w:r w:rsidRPr="0038156E">
        <w:rPr>
          <w:color w:val="auto"/>
        </w:rPr>
        <w:t>]</w:t>
      </w:r>
    </w:p>
    <w:p w14:paraId="5C79DB9D" w14:textId="425813B6" w:rsidR="00303684" w:rsidRPr="0038156E" w:rsidRDefault="0000526A" w:rsidP="00CC1F3B">
      <w:pPr>
        <w:pStyle w:val="TitleSection"/>
        <w:rPr>
          <w:color w:val="auto"/>
        </w:rPr>
      </w:pPr>
      <w:r w:rsidRPr="0038156E">
        <w:rPr>
          <w:color w:val="auto"/>
        </w:rPr>
        <w:lastRenderedPageBreak/>
        <w:t>A BILL</w:t>
      </w:r>
      <w:r w:rsidR="00813690" w:rsidRPr="0038156E">
        <w:rPr>
          <w:color w:val="auto"/>
        </w:rPr>
        <w:t xml:space="preserve"> to amend the Code of West Virginia, 1931, as amended,</w:t>
      </w:r>
      <w:r w:rsidR="00384447" w:rsidRPr="0038156E">
        <w:rPr>
          <w:color w:val="auto"/>
        </w:rPr>
        <w:t xml:space="preserve"> by adding thereto a new section, designated §11-21-12n</w:t>
      </w:r>
      <w:r w:rsidR="00D01282" w:rsidRPr="0038156E">
        <w:rPr>
          <w:color w:val="auto"/>
        </w:rPr>
        <w:t>,</w:t>
      </w:r>
      <w:r w:rsidR="00813690" w:rsidRPr="0038156E">
        <w:rPr>
          <w:color w:val="auto"/>
        </w:rPr>
        <w:t xml:space="preserve"> relating to taxation of gambling and lottery winnings; providing </w:t>
      </w:r>
      <w:r w:rsidR="00717617" w:rsidRPr="0038156E">
        <w:rPr>
          <w:color w:val="auto"/>
        </w:rPr>
        <w:t>those winnings</w:t>
      </w:r>
      <w:r w:rsidR="00813690" w:rsidRPr="0038156E">
        <w:rPr>
          <w:color w:val="auto"/>
        </w:rPr>
        <w:t xml:space="preserve"> are taxable income; allowing taxpayers to deduct</w:t>
      </w:r>
      <w:r w:rsidR="00717617" w:rsidRPr="0038156E">
        <w:rPr>
          <w:color w:val="auto"/>
        </w:rPr>
        <w:t xml:space="preserve"> certain </w:t>
      </w:r>
      <w:r w:rsidR="00813690" w:rsidRPr="0038156E">
        <w:rPr>
          <w:color w:val="auto"/>
        </w:rPr>
        <w:t>losses</w:t>
      </w:r>
      <w:r w:rsidR="003A348B" w:rsidRPr="0038156E">
        <w:rPr>
          <w:color w:val="auto"/>
        </w:rPr>
        <w:t xml:space="preserve"> incurred the same year</w:t>
      </w:r>
      <w:r w:rsidR="00717617" w:rsidRPr="0038156E">
        <w:rPr>
          <w:color w:val="auto"/>
        </w:rPr>
        <w:t>; and providing</w:t>
      </w:r>
      <w:r w:rsidR="003D303B" w:rsidRPr="0038156E">
        <w:rPr>
          <w:color w:val="auto"/>
        </w:rPr>
        <w:t xml:space="preserve"> for</w:t>
      </w:r>
      <w:r w:rsidR="00717617" w:rsidRPr="0038156E">
        <w:rPr>
          <w:color w:val="auto"/>
        </w:rPr>
        <w:t xml:space="preserve"> </w:t>
      </w:r>
      <w:r w:rsidR="003D303B" w:rsidRPr="0038156E">
        <w:rPr>
          <w:color w:val="auto"/>
        </w:rPr>
        <w:t>recordkeeping of those losses</w:t>
      </w:r>
      <w:r w:rsidR="003A348B" w:rsidRPr="0038156E">
        <w:rPr>
          <w:color w:val="auto"/>
        </w:rPr>
        <w:t>.</w:t>
      </w:r>
      <w:r w:rsidR="00813690" w:rsidRPr="0038156E">
        <w:rPr>
          <w:color w:val="auto"/>
        </w:rPr>
        <w:t xml:space="preserve"> </w:t>
      </w:r>
    </w:p>
    <w:p w14:paraId="49EAF08C" w14:textId="77777777" w:rsidR="00303684" w:rsidRPr="0038156E" w:rsidRDefault="00303684" w:rsidP="00CC1F3B">
      <w:pPr>
        <w:pStyle w:val="EnactingClause"/>
        <w:rPr>
          <w:color w:val="auto"/>
        </w:rPr>
      </w:pPr>
      <w:r w:rsidRPr="0038156E">
        <w:rPr>
          <w:color w:val="auto"/>
        </w:rPr>
        <w:t>Be it enacted by the Legislature of West Virginia:</w:t>
      </w:r>
    </w:p>
    <w:p w14:paraId="551B14E2" w14:textId="77777777" w:rsidR="003C6034" w:rsidRPr="0038156E" w:rsidRDefault="003C6034" w:rsidP="00CC1F3B">
      <w:pPr>
        <w:pStyle w:val="EnactingClause"/>
        <w:rPr>
          <w:color w:val="auto"/>
        </w:rPr>
        <w:sectPr w:rsidR="003C6034" w:rsidRPr="0038156E" w:rsidSect="00C45DD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16C380B7" w14:textId="77777777" w:rsidR="00813690" w:rsidRPr="0038156E" w:rsidRDefault="00813690" w:rsidP="00F72EBA">
      <w:pPr>
        <w:pStyle w:val="ArticleHeading"/>
        <w:rPr>
          <w:color w:val="auto"/>
        </w:rPr>
      </w:pPr>
      <w:r w:rsidRPr="0038156E">
        <w:rPr>
          <w:color w:val="auto"/>
        </w:rPr>
        <w:t>ARTICLE 21. PERSONAL INCOME TAX.</w:t>
      </w:r>
    </w:p>
    <w:p w14:paraId="52681066" w14:textId="628EFA0F" w:rsidR="00813690" w:rsidRPr="0038156E" w:rsidRDefault="00813690" w:rsidP="00813690">
      <w:pPr>
        <w:pStyle w:val="SectionHeading"/>
        <w:rPr>
          <w:color w:val="auto"/>
          <w:u w:val="single"/>
        </w:rPr>
        <w:sectPr w:rsidR="00813690" w:rsidRPr="0038156E" w:rsidSect="00C45DDE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38156E">
        <w:rPr>
          <w:color w:val="auto"/>
          <w:u w:val="single"/>
        </w:rPr>
        <w:t>§11-21-12n. Taxation on gambling and lottery winnings.</w:t>
      </w:r>
    </w:p>
    <w:p w14:paraId="0AFCFCC5" w14:textId="6AC80AC3" w:rsidR="008736AA" w:rsidRPr="0038156E" w:rsidRDefault="005F6140" w:rsidP="00813690">
      <w:pPr>
        <w:pStyle w:val="SectionBody"/>
        <w:rPr>
          <w:color w:val="auto"/>
        </w:rPr>
      </w:pPr>
      <w:r w:rsidRPr="0038156E">
        <w:rPr>
          <w:color w:val="auto"/>
          <w:u w:val="single"/>
        </w:rPr>
        <w:t>G</w:t>
      </w:r>
      <w:r w:rsidR="00813690" w:rsidRPr="0038156E">
        <w:rPr>
          <w:color w:val="auto"/>
          <w:u w:val="single"/>
        </w:rPr>
        <w:t>ains arising from gambling and lotteries</w:t>
      </w:r>
      <w:r w:rsidRPr="0038156E">
        <w:rPr>
          <w:color w:val="auto"/>
          <w:u w:val="single"/>
        </w:rPr>
        <w:t xml:space="preserve"> are taxable a</w:t>
      </w:r>
      <w:r w:rsidR="00D01282" w:rsidRPr="0038156E">
        <w:rPr>
          <w:color w:val="auto"/>
          <w:u w:val="single"/>
        </w:rPr>
        <w:t>s</w:t>
      </w:r>
      <w:r w:rsidRPr="0038156E">
        <w:rPr>
          <w:color w:val="auto"/>
          <w:u w:val="single"/>
        </w:rPr>
        <w:t xml:space="preserve"> personal income</w:t>
      </w:r>
      <w:r w:rsidR="00813690" w:rsidRPr="0038156E">
        <w:rPr>
          <w:color w:val="auto"/>
          <w:u w:val="single"/>
        </w:rPr>
        <w:t>. For the tax years beginning on or after January 1, 202</w:t>
      </w:r>
      <w:r w:rsidR="00101B94">
        <w:rPr>
          <w:color w:val="auto"/>
          <w:u w:val="single"/>
        </w:rPr>
        <w:t>3</w:t>
      </w:r>
      <w:r w:rsidR="00813690" w:rsidRPr="0038156E">
        <w:rPr>
          <w:color w:val="auto"/>
          <w:u w:val="single"/>
        </w:rPr>
        <w:t xml:space="preserve">, when calculating gains, the taxpayer may deduct gambling and lottery losses up to the amount won </w:t>
      </w:r>
      <w:r w:rsidR="003A348B" w:rsidRPr="0038156E">
        <w:rPr>
          <w:color w:val="auto"/>
          <w:u w:val="single"/>
        </w:rPr>
        <w:t xml:space="preserve">for </w:t>
      </w:r>
      <w:r w:rsidR="00813690" w:rsidRPr="0038156E">
        <w:rPr>
          <w:color w:val="auto"/>
          <w:u w:val="single"/>
        </w:rPr>
        <w:t xml:space="preserve">that </w:t>
      </w:r>
      <w:r w:rsidRPr="0038156E">
        <w:rPr>
          <w:color w:val="auto"/>
          <w:u w:val="single"/>
        </w:rPr>
        <w:t>year,</w:t>
      </w:r>
      <w:r w:rsidR="00C551B2" w:rsidRPr="0038156E">
        <w:rPr>
          <w:color w:val="auto"/>
          <w:u w:val="single"/>
        </w:rPr>
        <w:t xml:space="preserve"> </w:t>
      </w:r>
      <w:r w:rsidRPr="0038156E">
        <w:rPr>
          <w:color w:val="auto"/>
          <w:u w:val="single"/>
        </w:rPr>
        <w:t>but</w:t>
      </w:r>
      <w:r w:rsidR="00813690" w:rsidRPr="0038156E">
        <w:rPr>
          <w:color w:val="auto"/>
          <w:u w:val="single"/>
        </w:rPr>
        <w:t xml:space="preserve"> may not deduct the costs and expenses incurred in connection with the gambling and lottery activity</w:t>
      </w:r>
      <w:r w:rsidR="00C97CE7" w:rsidRPr="0038156E">
        <w:rPr>
          <w:color w:val="auto"/>
          <w:u w:val="single"/>
        </w:rPr>
        <w:t>.</w:t>
      </w:r>
      <w:r w:rsidR="00813690" w:rsidRPr="0038156E">
        <w:rPr>
          <w:color w:val="auto"/>
          <w:u w:val="single"/>
        </w:rPr>
        <w:t xml:space="preserve"> </w:t>
      </w:r>
      <w:r w:rsidR="003C0FC4" w:rsidRPr="0038156E">
        <w:rPr>
          <w:color w:val="auto"/>
          <w:u w:val="single"/>
        </w:rPr>
        <w:t>T</w:t>
      </w:r>
      <w:r w:rsidR="00813690" w:rsidRPr="0038156E">
        <w:rPr>
          <w:color w:val="auto"/>
          <w:u w:val="single"/>
        </w:rPr>
        <w:t>he taxpayer shall maintain detailed records substantiating losses</w:t>
      </w:r>
      <w:r w:rsidR="003C0FC4" w:rsidRPr="0038156E">
        <w:rPr>
          <w:color w:val="auto"/>
          <w:u w:val="single"/>
        </w:rPr>
        <w:t xml:space="preserve"> </w:t>
      </w:r>
      <w:r w:rsidR="004D690E" w:rsidRPr="0038156E">
        <w:rPr>
          <w:color w:val="auto"/>
          <w:u w:val="single"/>
        </w:rPr>
        <w:t xml:space="preserve">if the taxpayer </w:t>
      </w:r>
      <w:r w:rsidR="002B4E65" w:rsidRPr="0038156E">
        <w:rPr>
          <w:color w:val="auto"/>
          <w:u w:val="single"/>
        </w:rPr>
        <w:t>intends to</w:t>
      </w:r>
      <w:r w:rsidR="003C0FC4" w:rsidRPr="0038156E">
        <w:rPr>
          <w:color w:val="auto"/>
          <w:u w:val="single"/>
        </w:rPr>
        <w:t xml:space="preserve"> deduct those losses</w:t>
      </w:r>
      <w:r w:rsidR="00813690" w:rsidRPr="0038156E">
        <w:rPr>
          <w:color w:val="auto"/>
          <w:u w:val="single"/>
        </w:rPr>
        <w:t xml:space="preserve">. The taxpayer shall have the burden of proving </w:t>
      </w:r>
      <w:r w:rsidR="002B4E65" w:rsidRPr="0038156E">
        <w:rPr>
          <w:color w:val="auto"/>
          <w:u w:val="single"/>
        </w:rPr>
        <w:t xml:space="preserve">any </w:t>
      </w:r>
      <w:r w:rsidR="00813690" w:rsidRPr="0038156E">
        <w:rPr>
          <w:color w:val="auto"/>
          <w:u w:val="single"/>
        </w:rPr>
        <w:t>losses.</w:t>
      </w:r>
    </w:p>
    <w:p w14:paraId="2679BCCD" w14:textId="77777777" w:rsidR="00C33014" w:rsidRPr="0038156E" w:rsidRDefault="00C33014" w:rsidP="00CC1F3B">
      <w:pPr>
        <w:pStyle w:val="Note"/>
        <w:rPr>
          <w:color w:val="auto"/>
        </w:rPr>
      </w:pPr>
    </w:p>
    <w:p w14:paraId="274CD6E5" w14:textId="3157E4C4" w:rsidR="006865E9" w:rsidRPr="0038156E" w:rsidRDefault="00CF1DCA" w:rsidP="00CC1F3B">
      <w:pPr>
        <w:pStyle w:val="Note"/>
        <w:rPr>
          <w:color w:val="auto"/>
        </w:rPr>
      </w:pPr>
      <w:r w:rsidRPr="0038156E">
        <w:rPr>
          <w:color w:val="auto"/>
        </w:rPr>
        <w:t>NOTE: The</w:t>
      </w:r>
      <w:r w:rsidR="006865E9" w:rsidRPr="0038156E">
        <w:rPr>
          <w:color w:val="auto"/>
        </w:rPr>
        <w:t xml:space="preserve"> purpose of this bill is to </w:t>
      </w:r>
      <w:r w:rsidR="00813690" w:rsidRPr="0038156E">
        <w:rPr>
          <w:color w:val="auto"/>
        </w:rPr>
        <w:t>allow gambling and lottery winning</w:t>
      </w:r>
      <w:r w:rsidR="003B2D55" w:rsidRPr="0038156E">
        <w:rPr>
          <w:color w:val="auto"/>
        </w:rPr>
        <w:t>s</w:t>
      </w:r>
      <w:r w:rsidR="00813690" w:rsidRPr="0038156E">
        <w:rPr>
          <w:color w:val="auto"/>
        </w:rPr>
        <w:t xml:space="preserve"> to be written off against losses</w:t>
      </w:r>
      <w:r w:rsidR="003C01CC" w:rsidRPr="0038156E">
        <w:rPr>
          <w:color w:val="auto"/>
        </w:rPr>
        <w:t>.</w:t>
      </w:r>
    </w:p>
    <w:p w14:paraId="49DCE18A" w14:textId="77777777" w:rsidR="006865E9" w:rsidRPr="0038156E" w:rsidRDefault="00AE48A0" w:rsidP="00CC1F3B">
      <w:pPr>
        <w:pStyle w:val="Note"/>
        <w:rPr>
          <w:color w:val="auto"/>
        </w:rPr>
      </w:pPr>
      <w:r w:rsidRPr="0038156E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38156E" w:rsidSect="00C45DDE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79F97" w14:textId="77777777" w:rsidR="00431148" w:rsidRPr="00B844FE" w:rsidRDefault="00431148" w:rsidP="00B844FE">
      <w:r>
        <w:separator/>
      </w:r>
    </w:p>
  </w:endnote>
  <w:endnote w:type="continuationSeparator" w:id="0">
    <w:p w14:paraId="210994C6" w14:textId="77777777" w:rsidR="00431148" w:rsidRPr="00B844FE" w:rsidRDefault="00431148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43442F69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29DBADA1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41FEBF5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DA5AFB" w14:textId="77777777" w:rsidR="00431148" w:rsidRPr="00B844FE" w:rsidRDefault="00431148" w:rsidP="00B844FE">
      <w:r>
        <w:separator/>
      </w:r>
    </w:p>
  </w:footnote>
  <w:footnote w:type="continuationSeparator" w:id="0">
    <w:p w14:paraId="536E42AC" w14:textId="77777777" w:rsidR="00431148" w:rsidRPr="00B844FE" w:rsidRDefault="00431148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4FE0A" w14:textId="1BACE9AF" w:rsidR="002A0269" w:rsidRPr="00B844FE" w:rsidRDefault="009F3EC9">
    <w:pPr>
      <w:pStyle w:val="Header"/>
    </w:pPr>
    <w:sdt>
      <w:sdtPr>
        <w:id w:val="-684364211"/>
        <w:placeholder>
          <w:docPart w:val="B72E1EF93E8946E3BA667199F741F76F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B72E1EF93E8946E3BA667199F741F76F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6D5DB" w14:textId="434C4BD0" w:rsidR="00C33014" w:rsidRPr="00686E9A" w:rsidRDefault="00AE48A0" w:rsidP="000573A9">
    <w:pPr>
      <w:pStyle w:val="HeaderStyle"/>
      <w:rPr>
        <w:sz w:val="22"/>
        <w:szCs w:val="22"/>
      </w:rPr>
    </w:pPr>
    <w:r w:rsidRPr="00686E9A">
      <w:rPr>
        <w:sz w:val="22"/>
        <w:szCs w:val="22"/>
      </w:rPr>
      <w:t>I</w:t>
    </w:r>
    <w:r w:rsidR="001A66B7" w:rsidRPr="00686E9A">
      <w:rPr>
        <w:sz w:val="22"/>
        <w:szCs w:val="22"/>
      </w:rPr>
      <w:t xml:space="preserve">ntr </w:t>
    </w:r>
    <w:sdt>
      <w:sdtPr>
        <w:rPr>
          <w:sz w:val="22"/>
          <w:szCs w:val="22"/>
        </w:rPr>
        <w:tag w:val="BNumWH"/>
        <w:id w:val="138549797"/>
        <w:placeholder>
          <w:docPart w:val="C6323D27D3A14694BE6F90A9EC90A30C"/>
        </w:placeholder>
        <w:showingPlcHdr/>
        <w:text/>
      </w:sdtPr>
      <w:sdtEndPr/>
      <w:sdtContent/>
    </w:sdt>
    <w:r w:rsidR="007A5259" w:rsidRPr="00686E9A">
      <w:rPr>
        <w:sz w:val="22"/>
        <w:szCs w:val="22"/>
      </w:rPr>
      <w:t xml:space="preserve"> </w:t>
    </w:r>
    <w:r w:rsidR="003C01CC">
      <w:rPr>
        <w:sz w:val="22"/>
        <w:szCs w:val="22"/>
      </w:rPr>
      <w:t>HB</w:t>
    </w:r>
    <w:r w:rsidR="00C33014" w:rsidRPr="00686E9A">
      <w:rPr>
        <w:sz w:val="22"/>
        <w:szCs w:val="22"/>
      </w:rPr>
      <w:ptab w:relativeTo="margin" w:alignment="center" w:leader="none"/>
    </w:r>
    <w:r w:rsidR="00C33014" w:rsidRPr="00686E9A">
      <w:rPr>
        <w:sz w:val="22"/>
        <w:szCs w:val="22"/>
      </w:rPr>
      <w:tab/>
    </w:r>
    <w:sdt>
      <w:sdtPr>
        <w:rPr>
          <w:sz w:val="22"/>
          <w:szCs w:val="22"/>
        </w:rPr>
        <w:alias w:val="CBD Number"/>
        <w:tag w:val="CBD Number"/>
        <w:id w:val="1176923086"/>
        <w:lock w:val="sdtLocked"/>
        <w:placeholder>
          <w:docPart w:val="A71EE4AF119746DABFFD8A86860E6A56"/>
        </w:placeholder>
        <w:text/>
      </w:sdtPr>
      <w:sdtEndPr/>
      <w:sdtContent>
        <w:r w:rsidR="003C01CC">
          <w:rPr>
            <w:sz w:val="22"/>
            <w:szCs w:val="22"/>
          </w:rPr>
          <w:t>202</w:t>
        </w:r>
        <w:r w:rsidR="00D1151A">
          <w:rPr>
            <w:sz w:val="22"/>
            <w:szCs w:val="22"/>
          </w:rPr>
          <w:t>3R2795</w:t>
        </w:r>
      </w:sdtContent>
    </w:sdt>
  </w:p>
  <w:p w14:paraId="50E707FA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DB12F" w14:textId="274BA16E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1197111956">
    <w:abstractNumId w:val="0"/>
  </w:num>
  <w:num w:numId="2" w16cid:durableId="18704919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ABE"/>
    <w:rsid w:val="0000526A"/>
    <w:rsid w:val="000573A9"/>
    <w:rsid w:val="00085D22"/>
    <w:rsid w:val="000C5C77"/>
    <w:rsid w:val="000E3912"/>
    <w:rsid w:val="0010070F"/>
    <w:rsid w:val="00101B94"/>
    <w:rsid w:val="0015112E"/>
    <w:rsid w:val="001552E7"/>
    <w:rsid w:val="001566B4"/>
    <w:rsid w:val="001A66B7"/>
    <w:rsid w:val="001C279E"/>
    <w:rsid w:val="001D459E"/>
    <w:rsid w:val="00202645"/>
    <w:rsid w:val="0022348D"/>
    <w:rsid w:val="0027011C"/>
    <w:rsid w:val="00274200"/>
    <w:rsid w:val="00275740"/>
    <w:rsid w:val="002A0269"/>
    <w:rsid w:val="002B4E65"/>
    <w:rsid w:val="00303684"/>
    <w:rsid w:val="003143F5"/>
    <w:rsid w:val="00314854"/>
    <w:rsid w:val="0038156E"/>
    <w:rsid w:val="00384447"/>
    <w:rsid w:val="00394191"/>
    <w:rsid w:val="003A348B"/>
    <w:rsid w:val="003B2D55"/>
    <w:rsid w:val="003C01CC"/>
    <w:rsid w:val="003C0FC4"/>
    <w:rsid w:val="003C51CD"/>
    <w:rsid w:val="003C6034"/>
    <w:rsid w:val="003D303B"/>
    <w:rsid w:val="003E409F"/>
    <w:rsid w:val="00400B5C"/>
    <w:rsid w:val="00431148"/>
    <w:rsid w:val="004368E0"/>
    <w:rsid w:val="004418C6"/>
    <w:rsid w:val="0045061F"/>
    <w:rsid w:val="004C13DD"/>
    <w:rsid w:val="004D3ABE"/>
    <w:rsid w:val="004D690E"/>
    <w:rsid w:val="004E3441"/>
    <w:rsid w:val="00500579"/>
    <w:rsid w:val="00534FF1"/>
    <w:rsid w:val="005567EA"/>
    <w:rsid w:val="00556C1C"/>
    <w:rsid w:val="005A5366"/>
    <w:rsid w:val="005F6140"/>
    <w:rsid w:val="006369EB"/>
    <w:rsid w:val="00637E73"/>
    <w:rsid w:val="006865E9"/>
    <w:rsid w:val="00686E9A"/>
    <w:rsid w:val="00691F3E"/>
    <w:rsid w:val="00694BFB"/>
    <w:rsid w:val="006A106B"/>
    <w:rsid w:val="006C523D"/>
    <w:rsid w:val="006D4036"/>
    <w:rsid w:val="00717617"/>
    <w:rsid w:val="007A5259"/>
    <w:rsid w:val="007A7081"/>
    <w:rsid w:val="007C3DEA"/>
    <w:rsid w:val="007F1CF5"/>
    <w:rsid w:val="00813690"/>
    <w:rsid w:val="00834EDE"/>
    <w:rsid w:val="008736AA"/>
    <w:rsid w:val="008D275D"/>
    <w:rsid w:val="00980327"/>
    <w:rsid w:val="00986478"/>
    <w:rsid w:val="009B5557"/>
    <w:rsid w:val="009F1067"/>
    <w:rsid w:val="009F3EC9"/>
    <w:rsid w:val="00A31E01"/>
    <w:rsid w:val="00A4284A"/>
    <w:rsid w:val="00A527AD"/>
    <w:rsid w:val="00A718CF"/>
    <w:rsid w:val="00AE48A0"/>
    <w:rsid w:val="00AE61BE"/>
    <w:rsid w:val="00B16F25"/>
    <w:rsid w:val="00B24422"/>
    <w:rsid w:val="00B66B81"/>
    <w:rsid w:val="00B80C20"/>
    <w:rsid w:val="00B844FE"/>
    <w:rsid w:val="00B86B4F"/>
    <w:rsid w:val="00B90E4F"/>
    <w:rsid w:val="00BA1F84"/>
    <w:rsid w:val="00BC562B"/>
    <w:rsid w:val="00C15B1D"/>
    <w:rsid w:val="00C23FC4"/>
    <w:rsid w:val="00C33014"/>
    <w:rsid w:val="00C33434"/>
    <w:rsid w:val="00C34869"/>
    <w:rsid w:val="00C42EB6"/>
    <w:rsid w:val="00C45DDE"/>
    <w:rsid w:val="00C551B2"/>
    <w:rsid w:val="00C85096"/>
    <w:rsid w:val="00C97CE7"/>
    <w:rsid w:val="00CB20EF"/>
    <w:rsid w:val="00CC1F3B"/>
    <w:rsid w:val="00CD12CB"/>
    <w:rsid w:val="00CD36CF"/>
    <w:rsid w:val="00CF1DCA"/>
    <w:rsid w:val="00D01282"/>
    <w:rsid w:val="00D1151A"/>
    <w:rsid w:val="00D579FC"/>
    <w:rsid w:val="00D81C16"/>
    <w:rsid w:val="00DE526B"/>
    <w:rsid w:val="00DF199D"/>
    <w:rsid w:val="00E01542"/>
    <w:rsid w:val="00E33224"/>
    <w:rsid w:val="00E360F0"/>
    <w:rsid w:val="00E365F1"/>
    <w:rsid w:val="00E62F48"/>
    <w:rsid w:val="00E831B3"/>
    <w:rsid w:val="00E95FBC"/>
    <w:rsid w:val="00EC5E63"/>
    <w:rsid w:val="00EE70CB"/>
    <w:rsid w:val="00F41CA2"/>
    <w:rsid w:val="00F443C0"/>
    <w:rsid w:val="00F62EFB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0A469549"/>
  <w15:chartTrackingRefBased/>
  <w15:docId w15:val="{79D3455E-682C-419F-8DBE-C6490DA4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813690"/>
    <w:rPr>
      <w:rFonts w:eastAsia="Calibri"/>
      <w:b/>
      <w:caps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A15D514EE5841B29C7CA3B6052E5D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52966-2E4B-4648-BCFF-DE0AC79B485C}"/>
      </w:docPartPr>
      <w:docPartBody>
        <w:p w:rsidR="00C10011" w:rsidRDefault="00C10011">
          <w:pPr>
            <w:pStyle w:val="7A15D514EE5841B29C7CA3B6052E5D41"/>
          </w:pPr>
          <w:r w:rsidRPr="00B844FE">
            <w:t>Prefix Text</w:t>
          </w:r>
        </w:p>
      </w:docPartBody>
    </w:docPart>
    <w:docPart>
      <w:docPartPr>
        <w:name w:val="B72E1EF93E8946E3BA667199F741F7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58ADE7-9EB5-4ABA-9D83-8AD0572AB3B5}"/>
      </w:docPartPr>
      <w:docPartBody>
        <w:p w:rsidR="00C10011" w:rsidRDefault="00C10011">
          <w:pPr>
            <w:pStyle w:val="B72E1EF93E8946E3BA667199F741F76F"/>
          </w:pPr>
          <w:r w:rsidRPr="00B844FE">
            <w:t>[Type here]</w:t>
          </w:r>
        </w:p>
      </w:docPartBody>
    </w:docPart>
    <w:docPart>
      <w:docPartPr>
        <w:name w:val="8CAC538E0E0B441284DD842A17DC8D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2F5BDF-C489-46CF-B7C5-F085A34F07F4}"/>
      </w:docPartPr>
      <w:docPartBody>
        <w:p w:rsidR="00C10011" w:rsidRDefault="00C10011">
          <w:pPr>
            <w:pStyle w:val="8CAC538E0E0B441284DD842A17DC8D2B"/>
          </w:pPr>
          <w:r w:rsidRPr="00B844FE">
            <w:t>Number</w:t>
          </w:r>
        </w:p>
      </w:docPartBody>
    </w:docPart>
    <w:docPart>
      <w:docPartPr>
        <w:name w:val="9D2D760CBEAC48878493036E25F09B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E73C61-A11A-45F7-AFF8-5087ECE6253E}"/>
      </w:docPartPr>
      <w:docPartBody>
        <w:p w:rsidR="00C10011" w:rsidRDefault="00C10011">
          <w:pPr>
            <w:pStyle w:val="9D2D760CBEAC48878493036E25F09BBE"/>
          </w:pPr>
          <w:r w:rsidRPr="00B844FE">
            <w:t>Enter Sponsors Here</w:t>
          </w:r>
        </w:p>
      </w:docPartBody>
    </w:docPart>
    <w:docPart>
      <w:docPartPr>
        <w:name w:val="D4A31AA3ADD442DA9F17D7E8D2E3A8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20D82-5635-4EC2-A3C6-E220C402F801}"/>
      </w:docPartPr>
      <w:docPartBody>
        <w:p w:rsidR="00C10011" w:rsidRDefault="00C10011" w:rsidP="00C10011">
          <w:pPr>
            <w:pStyle w:val="D4A31AA3ADD442DA9F17D7E8D2E3A8771"/>
          </w:pPr>
          <w:r>
            <w:rPr>
              <w:rStyle w:val="PlaceholderText"/>
            </w:rPr>
            <w:t>Enter References</w:t>
          </w:r>
        </w:p>
      </w:docPartBody>
    </w:docPart>
    <w:docPart>
      <w:docPartPr>
        <w:name w:val="A71EE4AF119746DABFFD8A86860E6A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C3E189-7D84-4F96-AFB9-B66E74575763}"/>
      </w:docPartPr>
      <w:docPartBody>
        <w:p w:rsidR="007C6D0E" w:rsidRDefault="00C10011" w:rsidP="00C10011">
          <w:pPr>
            <w:pStyle w:val="A71EE4AF119746DABFFD8A86860E6A56"/>
          </w:pPr>
          <w:r w:rsidRPr="004D3ABE">
            <w:rPr>
              <w:rStyle w:val="PlaceholderText"/>
            </w:rPr>
            <w:t>Click here to enter text.</w:t>
          </w:r>
        </w:p>
      </w:docPartBody>
    </w:docPart>
    <w:docPart>
      <w:docPartPr>
        <w:name w:val="C6323D27D3A14694BE6F90A9EC90A3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70FBBE-ABBD-440A-941A-C50E37D4B043}"/>
      </w:docPartPr>
      <w:docPartBody>
        <w:p w:rsidR="00D50952" w:rsidRDefault="00D50952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011"/>
    <w:rsid w:val="007C6D0E"/>
    <w:rsid w:val="009D324F"/>
    <w:rsid w:val="00C10011"/>
    <w:rsid w:val="00D50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A15D514EE5841B29C7CA3B6052E5D41">
    <w:name w:val="7A15D514EE5841B29C7CA3B6052E5D41"/>
  </w:style>
  <w:style w:type="paragraph" w:customStyle="1" w:styleId="B72E1EF93E8946E3BA667199F741F76F">
    <w:name w:val="B72E1EF93E8946E3BA667199F741F76F"/>
  </w:style>
  <w:style w:type="paragraph" w:customStyle="1" w:styleId="8CAC538E0E0B441284DD842A17DC8D2B">
    <w:name w:val="8CAC538E0E0B441284DD842A17DC8D2B"/>
  </w:style>
  <w:style w:type="paragraph" w:customStyle="1" w:styleId="9D2D760CBEAC48878493036E25F09BBE">
    <w:name w:val="9D2D760CBEAC48878493036E25F09BBE"/>
  </w:style>
  <w:style w:type="character" w:styleId="PlaceholderText">
    <w:name w:val="Placeholder Text"/>
    <w:basedOn w:val="DefaultParagraphFont"/>
    <w:uiPriority w:val="99"/>
    <w:semiHidden/>
    <w:rsid w:val="00C10011"/>
    <w:rPr>
      <w:color w:val="808080"/>
    </w:rPr>
  </w:style>
  <w:style w:type="paragraph" w:customStyle="1" w:styleId="D4A31AA3ADD442DA9F17D7E8D2E3A8771">
    <w:name w:val="D4A31AA3ADD442DA9F17D7E8D2E3A8771"/>
    <w:rsid w:val="00C10011"/>
    <w:pPr>
      <w:suppressLineNumbers/>
      <w:spacing w:after="0" w:line="480" w:lineRule="auto"/>
      <w:ind w:left="1800" w:right="1800"/>
      <w:jc w:val="center"/>
    </w:pPr>
    <w:rPr>
      <w:rFonts w:ascii="Arial" w:eastAsia="Calibri" w:hAnsi="Arial"/>
      <w:color w:val="000000"/>
      <w:sz w:val="24"/>
    </w:rPr>
  </w:style>
  <w:style w:type="paragraph" w:customStyle="1" w:styleId="A71EE4AF119746DABFFD8A86860E6A56">
    <w:name w:val="A71EE4AF119746DABFFD8A86860E6A56"/>
    <w:rsid w:val="00C10011"/>
    <w:pPr>
      <w:tabs>
        <w:tab w:val="center" w:pos="4680"/>
        <w:tab w:val="right" w:pos="9360"/>
      </w:tabs>
      <w:spacing w:after="0" w:line="240" w:lineRule="auto"/>
    </w:pPr>
    <w:rPr>
      <w:rFonts w:ascii="Arial" w:eastAsiaTheme="minorHAnsi" w:hAnsi="Arial"/>
      <w:color w:val="000000" w:themeColor="text1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Doren Burrell</dc:creator>
  <cp:keywords/>
  <dc:description/>
  <cp:lastModifiedBy>Robert Altmann</cp:lastModifiedBy>
  <cp:revision>6</cp:revision>
  <cp:lastPrinted>2022-02-11T13:37:00Z</cp:lastPrinted>
  <dcterms:created xsi:type="dcterms:W3CDTF">2023-01-18T18:44:00Z</dcterms:created>
  <dcterms:modified xsi:type="dcterms:W3CDTF">2023-02-10T13:09:00Z</dcterms:modified>
</cp:coreProperties>
</file>